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proofErr w:type="spellStart"/>
      <w:r w:rsidRPr="00382509">
        <w:rPr>
          <w:rFonts w:ascii="Times New Roman" w:hAnsi="Times New Roman" w:cs="Times New Roman"/>
          <w:color w:val="000000" w:themeColor="text1"/>
          <w:sz w:val="28"/>
          <w:szCs w:val="28"/>
          <w:lang w:val="en-US"/>
        </w:rPr>
        <w:t>Luật</w:t>
      </w:r>
      <w:proofErr w:type="spellEnd"/>
      <w:r w:rsidRPr="00382509">
        <w:rPr>
          <w:rFonts w:ascii="Times New Roman" w:hAnsi="Times New Roman" w:cs="Times New Roman"/>
          <w:color w:val="000000" w:themeColor="text1"/>
          <w:sz w:val="28"/>
          <w:szCs w:val="28"/>
          <w:lang w:val="en-US"/>
        </w:rPr>
        <w:t xml:space="preserve"> CNTT </w:t>
      </w:r>
      <w:proofErr w:type="spellStart"/>
      <w:r w:rsidRPr="00382509">
        <w:rPr>
          <w:rFonts w:ascii="Times New Roman" w:hAnsi="Times New Roman" w:cs="Times New Roman"/>
          <w:color w:val="000000" w:themeColor="text1"/>
          <w:sz w:val="28"/>
          <w:szCs w:val="28"/>
          <w:lang w:val="en-US"/>
        </w:rPr>
        <w:t>số</w:t>
      </w:r>
      <w:proofErr w:type="spellEnd"/>
      <w:r w:rsidRPr="00382509">
        <w:rPr>
          <w:rFonts w:ascii="Times New Roman" w:hAnsi="Times New Roman" w:cs="Times New Roman"/>
          <w:color w:val="000000" w:themeColor="text1"/>
          <w:sz w:val="28"/>
          <w:szCs w:val="28"/>
          <w:lang w:val="en-US"/>
        </w:rPr>
        <w:t xml:space="preserve"> 67/2006/QH11</w:t>
      </w:r>
    </w:p>
    <w:p w:rsidR="005355D5"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proofErr w:type="spellStart"/>
      <w:r w:rsidRPr="00382509">
        <w:rPr>
          <w:rFonts w:ascii="Times New Roman" w:hAnsi="Times New Roman" w:cs="Times New Roman"/>
          <w:color w:val="000000" w:themeColor="text1"/>
          <w:sz w:val="28"/>
          <w:szCs w:val="28"/>
          <w:lang w:val="en-US"/>
        </w:rPr>
        <w:t>Luật</w:t>
      </w:r>
      <w:proofErr w:type="spellEnd"/>
      <w:r w:rsidRPr="00382509">
        <w:rPr>
          <w:rFonts w:ascii="Times New Roman" w:hAnsi="Times New Roman" w:cs="Times New Roman"/>
          <w:color w:val="000000" w:themeColor="text1"/>
          <w:sz w:val="28"/>
          <w:szCs w:val="28"/>
          <w:lang w:val="en-US"/>
        </w:rPr>
        <w:t xml:space="preserve"> BHYT 25/2008/QH12</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proofErr w:type="spellStart"/>
      <w:r w:rsidRPr="00382509">
        <w:rPr>
          <w:rFonts w:ascii="Times New Roman" w:hAnsi="Times New Roman" w:cs="Times New Roman"/>
          <w:color w:val="000000" w:themeColor="text1"/>
          <w:sz w:val="28"/>
          <w:szCs w:val="28"/>
          <w:lang w:val="en-US"/>
        </w:rPr>
        <w:t>Luật</w:t>
      </w:r>
      <w:proofErr w:type="spellEnd"/>
      <w:r w:rsidRPr="00382509">
        <w:rPr>
          <w:rFonts w:ascii="Times New Roman" w:hAnsi="Times New Roman" w:cs="Times New Roman"/>
          <w:color w:val="000000" w:themeColor="text1"/>
          <w:sz w:val="28"/>
          <w:szCs w:val="28"/>
          <w:lang w:val="en-US"/>
        </w:rPr>
        <w:t xml:space="preserve"> KCB 40/2009/QH12</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proofErr w:type="spellStart"/>
      <w:r w:rsidRPr="00382509">
        <w:rPr>
          <w:rFonts w:ascii="Times New Roman" w:hAnsi="Times New Roman" w:cs="Times New Roman"/>
          <w:color w:val="000000" w:themeColor="text1"/>
          <w:sz w:val="28"/>
          <w:szCs w:val="28"/>
          <w:lang w:val="en-US"/>
        </w:rPr>
        <w:t>Luật</w:t>
      </w:r>
      <w:proofErr w:type="spellEnd"/>
      <w:r w:rsidRPr="00382509">
        <w:rPr>
          <w:rFonts w:ascii="Times New Roman" w:hAnsi="Times New Roman" w:cs="Times New Roman"/>
          <w:color w:val="000000" w:themeColor="text1"/>
          <w:sz w:val="28"/>
          <w:szCs w:val="28"/>
          <w:lang w:val="en-US"/>
        </w:rPr>
        <w:t xml:space="preserve"> BHYT 46/2014/QH13</w:t>
      </w:r>
    </w:p>
    <w:p w:rsidR="0080785D" w:rsidRPr="00382509" w:rsidRDefault="00BA0A1E" w:rsidP="00382509">
      <w:pPr>
        <w:pStyle w:val="ListParagraph"/>
        <w:numPr>
          <w:ilvl w:val="0"/>
          <w:numId w:val="1"/>
        </w:numPr>
        <w:jc w:val="both"/>
        <w:rPr>
          <w:rFonts w:ascii="Times New Roman" w:hAnsi="Times New Roman" w:cs="Times New Roman"/>
          <w:color w:val="000000" w:themeColor="text1"/>
          <w:sz w:val="28"/>
          <w:szCs w:val="28"/>
        </w:rPr>
      </w:pPr>
      <w:proofErr w:type="spellStart"/>
      <w:r w:rsidRPr="00382509">
        <w:rPr>
          <w:rFonts w:ascii="Times New Roman" w:hAnsi="Times New Roman" w:cs="Times New Roman"/>
          <w:color w:val="000000" w:themeColor="text1"/>
          <w:sz w:val="28"/>
          <w:szCs w:val="28"/>
          <w:lang w:val="en-US"/>
        </w:rPr>
        <w:t>Luật</w:t>
      </w:r>
      <w:proofErr w:type="spellEnd"/>
      <w:r w:rsidRPr="00382509">
        <w:rPr>
          <w:rFonts w:ascii="Times New Roman" w:hAnsi="Times New Roman" w:cs="Times New Roman"/>
          <w:color w:val="000000" w:themeColor="text1"/>
          <w:sz w:val="28"/>
          <w:szCs w:val="28"/>
          <w:lang w:val="en-US"/>
        </w:rPr>
        <w:t xml:space="preserve"> </w:t>
      </w:r>
      <w:proofErr w:type="spellStart"/>
      <w:r w:rsidRPr="00382509">
        <w:rPr>
          <w:rFonts w:ascii="Times New Roman" w:hAnsi="Times New Roman" w:cs="Times New Roman"/>
          <w:color w:val="000000" w:themeColor="text1"/>
          <w:sz w:val="28"/>
          <w:szCs w:val="28"/>
          <w:lang w:val="en-US"/>
        </w:rPr>
        <w:t>Giao</w:t>
      </w:r>
      <w:proofErr w:type="spellEnd"/>
      <w:r w:rsidRPr="00382509">
        <w:rPr>
          <w:rFonts w:ascii="Times New Roman" w:hAnsi="Times New Roman" w:cs="Times New Roman"/>
          <w:color w:val="000000" w:themeColor="text1"/>
          <w:sz w:val="28"/>
          <w:szCs w:val="28"/>
          <w:lang w:val="en-US"/>
        </w:rPr>
        <w:t xml:space="preserve"> </w:t>
      </w:r>
      <w:proofErr w:type="spellStart"/>
      <w:r w:rsidRPr="00382509">
        <w:rPr>
          <w:rFonts w:ascii="Times New Roman" w:hAnsi="Times New Roman" w:cs="Times New Roman"/>
          <w:color w:val="000000" w:themeColor="text1"/>
          <w:sz w:val="28"/>
          <w:szCs w:val="28"/>
          <w:lang w:val="en-US"/>
        </w:rPr>
        <w:t>dịch</w:t>
      </w:r>
      <w:proofErr w:type="spellEnd"/>
      <w:r w:rsidRPr="00382509">
        <w:rPr>
          <w:rFonts w:ascii="Times New Roman" w:hAnsi="Times New Roman" w:cs="Times New Roman"/>
          <w:color w:val="000000" w:themeColor="text1"/>
          <w:sz w:val="28"/>
          <w:szCs w:val="28"/>
          <w:lang w:val="en-US"/>
        </w:rPr>
        <w:t xml:space="preserve"> </w:t>
      </w:r>
      <w:proofErr w:type="spellStart"/>
      <w:r w:rsidRPr="00382509">
        <w:rPr>
          <w:rFonts w:ascii="Times New Roman" w:hAnsi="Times New Roman" w:cs="Times New Roman"/>
          <w:color w:val="000000" w:themeColor="text1"/>
          <w:sz w:val="28"/>
          <w:szCs w:val="28"/>
          <w:lang w:val="en-US"/>
        </w:rPr>
        <w:t>điện</w:t>
      </w:r>
      <w:proofErr w:type="spellEnd"/>
      <w:r w:rsidRPr="00382509">
        <w:rPr>
          <w:rFonts w:ascii="Times New Roman" w:hAnsi="Times New Roman" w:cs="Times New Roman"/>
          <w:color w:val="000000" w:themeColor="text1"/>
          <w:sz w:val="28"/>
          <w:szCs w:val="28"/>
          <w:lang w:val="en-US"/>
        </w:rPr>
        <w:t xml:space="preserve"> </w:t>
      </w:r>
      <w:proofErr w:type="spellStart"/>
      <w:r w:rsidRPr="00382509">
        <w:rPr>
          <w:rFonts w:ascii="Times New Roman" w:hAnsi="Times New Roman" w:cs="Times New Roman"/>
          <w:color w:val="000000" w:themeColor="text1"/>
          <w:sz w:val="28"/>
          <w:szCs w:val="28"/>
          <w:lang w:val="en-US"/>
        </w:rPr>
        <w:t>tử</w:t>
      </w:r>
      <w:proofErr w:type="spellEnd"/>
      <w:r w:rsidRPr="00382509">
        <w:rPr>
          <w:rFonts w:ascii="Times New Roman" w:hAnsi="Times New Roman" w:cs="Times New Roman"/>
          <w:color w:val="000000" w:themeColor="text1"/>
          <w:sz w:val="28"/>
          <w:szCs w:val="28"/>
          <w:lang w:val="en-US"/>
        </w:rPr>
        <w:t xml:space="preserve"> </w:t>
      </w:r>
      <w:proofErr w:type="spellStart"/>
      <w:r w:rsidRPr="00382509">
        <w:rPr>
          <w:rFonts w:ascii="Times New Roman" w:hAnsi="Times New Roman" w:cs="Times New Roman"/>
          <w:color w:val="000000" w:themeColor="text1"/>
          <w:sz w:val="28"/>
          <w:szCs w:val="28"/>
          <w:lang w:val="en-US"/>
        </w:rPr>
        <w:t>số</w:t>
      </w:r>
      <w:proofErr w:type="spellEnd"/>
      <w:r w:rsidRPr="00382509">
        <w:rPr>
          <w:rFonts w:ascii="Times New Roman" w:hAnsi="Times New Roman" w:cs="Times New Roman"/>
          <w:b/>
          <w:bCs/>
          <w:color w:val="000000" w:themeColor="text1"/>
          <w:sz w:val="28"/>
          <w:szCs w:val="28"/>
          <w:lang w:val="en-US"/>
        </w:rPr>
        <w:t xml:space="preserve"> 51/2005/QH11</w:t>
      </w:r>
    </w:p>
    <w:p w:rsidR="0080785D" w:rsidRPr="00382509" w:rsidRDefault="00BA0A1E" w:rsidP="00382509">
      <w:pPr>
        <w:pStyle w:val="ListParagraph"/>
        <w:numPr>
          <w:ilvl w:val="0"/>
          <w:numId w:val="1"/>
        </w:numPr>
        <w:jc w:val="both"/>
        <w:rPr>
          <w:rFonts w:ascii="Times New Roman" w:hAnsi="Times New Roman" w:cs="Times New Roman"/>
          <w:color w:val="000000" w:themeColor="text1"/>
          <w:sz w:val="28"/>
          <w:szCs w:val="28"/>
        </w:rPr>
      </w:pPr>
      <w:proofErr w:type="spellStart"/>
      <w:r w:rsidRPr="00382509">
        <w:rPr>
          <w:rFonts w:ascii="Times New Roman" w:hAnsi="Times New Roman" w:cs="Times New Roman"/>
          <w:color w:val="000000" w:themeColor="text1"/>
          <w:sz w:val="28"/>
          <w:szCs w:val="28"/>
          <w:lang w:val="en-US"/>
        </w:rPr>
        <w:t>Luật</w:t>
      </w:r>
      <w:proofErr w:type="spellEnd"/>
      <w:r w:rsidRPr="00382509">
        <w:rPr>
          <w:rFonts w:ascii="Times New Roman" w:hAnsi="Times New Roman" w:cs="Times New Roman"/>
          <w:color w:val="000000" w:themeColor="text1"/>
          <w:sz w:val="28"/>
          <w:szCs w:val="28"/>
          <w:lang w:val="en-US"/>
        </w:rPr>
        <w:t xml:space="preserve"> an </w:t>
      </w:r>
      <w:proofErr w:type="spellStart"/>
      <w:r w:rsidRPr="00382509">
        <w:rPr>
          <w:rFonts w:ascii="Times New Roman" w:hAnsi="Times New Roman" w:cs="Times New Roman"/>
          <w:color w:val="000000" w:themeColor="text1"/>
          <w:sz w:val="28"/>
          <w:szCs w:val="28"/>
          <w:lang w:val="en-US"/>
        </w:rPr>
        <w:t>toàn</w:t>
      </w:r>
      <w:proofErr w:type="spellEnd"/>
      <w:r w:rsidRPr="00382509">
        <w:rPr>
          <w:rFonts w:ascii="Times New Roman" w:hAnsi="Times New Roman" w:cs="Times New Roman"/>
          <w:color w:val="000000" w:themeColor="text1"/>
          <w:sz w:val="28"/>
          <w:szCs w:val="28"/>
          <w:lang w:val="en-US"/>
        </w:rPr>
        <w:t xml:space="preserve"> </w:t>
      </w:r>
      <w:proofErr w:type="spellStart"/>
      <w:r w:rsidRPr="00382509">
        <w:rPr>
          <w:rFonts w:ascii="Times New Roman" w:hAnsi="Times New Roman" w:cs="Times New Roman"/>
          <w:color w:val="000000" w:themeColor="text1"/>
          <w:sz w:val="28"/>
          <w:szCs w:val="28"/>
          <w:lang w:val="en-US"/>
        </w:rPr>
        <w:t>thông</w:t>
      </w:r>
      <w:proofErr w:type="spellEnd"/>
      <w:r w:rsidRPr="00382509">
        <w:rPr>
          <w:rFonts w:ascii="Times New Roman" w:hAnsi="Times New Roman" w:cs="Times New Roman"/>
          <w:color w:val="000000" w:themeColor="text1"/>
          <w:sz w:val="28"/>
          <w:szCs w:val="28"/>
          <w:lang w:val="en-US"/>
        </w:rPr>
        <w:t xml:space="preserve"> tin </w:t>
      </w:r>
      <w:proofErr w:type="spellStart"/>
      <w:r w:rsidRPr="00382509">
        <w:rPr>
          <w:rFonts w:ascii="Times New Roman" w:hAnsi="Times New Roman" w:cs="Times New Roman"/>
          <w:color w:val="000000" w:themeColor="text1"/>
          <w:sz w:val="28"/>
          <w:szCs w:val="28"/>
          <w:lang w:val="en-US"/>
        </w:rPr>
        <w:t>mạng</w:t>
      </w:r>
      <w:proofErr w:type="spellEnd"/>
      <w:r w:rsidRPr="00382509">
        <w:rPr>
          <w:rFonts w:ascii="Times New Roman" w:hAnsi="Times New Roman" w:cs="Times New Roman"/>
          <w:color w:val="000000" w:themeColor="text1"/>
          <w:sz w:val="28"/>
          <w:szCs w:val="28"/>
          <w:lang w:val="en-US"/>
        </w:rPr>
        <w:t xml:space="preserve"> </w:t>
      </w:r>
      <w:r w:rsidRPr="00382509">
        <w:rPr>
          <w:rFonts w:ascii="Times New Roman" w:hAnsi="Times New Roman" w:cs="Times New Roman"/>
          <w:color w:val="000000" w:themeColor="text1"/>
          <w:sz w:val="28"/>
          <w:szCs w:val="28"/>
        </w:rPr>
        <w:t xml:space="preserve">số </w:t>
      </w:r>
      <w:r w:rsidRPr="00382509">
        <w:rPr>
          <w:rFonts w:ascii="Times New Roman" w:hAnsi="Times New Roman" w:cs="Times New Roman"/>
          <w:b/>
          <w:bCs/>
          <w:color w:val="000000" w:themeColor="text1"/>
          <w:sz w:val="28"/>
          <w:szCs w:val="28"/>
        </w:rPr>
        <w:t>86/2015/QH13</w:t>
      </w:r>
      <w:r w:rsidRPr="00382509">
        <w:rPr>
          <w:rFonts w:ascii="Times New Roman" w:hAnsi="Times New Roman" w:cs="Times New Roman"/>
          <w:color w:val="000000" w:themeColor="text1"/>
          <w:sz w:val="28"/>
          <w:szCs w:val="28"/>
        </w:rPr>
        <w:t xml:space="preserve"> </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rPr>
        <w:t xml:space="preserve">Luật an ninh mạng số </w:t>
      </w:r>
      <w:r w:rsidRPr="00382509">
        <w:rPr>
          <w:rFonts w:ascii="Times New Roman" w:hAnsi="Times New Roman" w:cs="Times New Roman"/>
          <w:b/>
          <w:bCs/>
          <w:color w:val="000000" w:themeColor="text1"/>
          <w:sz w:val="28"/>
          <w:szCs w:val="28"/>
        </w:rPr>
        <w:t>24/2018/QH14</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Nghị định số 146/NĐ-CP ngày 17/10/2018 của Chính phủ quy định chi tiết và hướng dẫn biện pháp thi hành một số điều của Luật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39/2018/TT-BYT ngày 30/11/2018 của Bộ Y tế quy định thống nhất giá dịch vụ KCB BHYT giữa các bệnh viện cùng hạng trên toàn quốc và hướng dẫn áp dụng giá, thanh toán chi phí KCB trong một số trường hợp</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Quyết định số 7435/QĐ-BYT ngày 14/12/2018 của Bộ Y tế ban hành Danh mục các DVKT KCB được xếp tương đương về quy trình kỹ thuật và chi phí thực hiện theo Thông tư 39/2018/TT-BYT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Quyết định số 7603/QĐ-BYT ngày 25/12/2018 của Bộ Y tế về việc ban hành bộ mã danh mục dùng chung áp dụng trong quản lý KCB và thanh toán BHYT (Phiên bản số 6)</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37/2018/TT-BYT ngày 30/11/2018 của Bộ Y tế quy định mức tối đa khung giá dịch vụ KCB không thuộc phạm vi thanh toán của Quỹ BHYT trong các cơ sở KCB của Nhà nước và hướng dẫn áp dụng giá, thanh toán chi phí KCB trong một số trường hợp</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30/2018/TT-BYT ngày 30/10/2018 của Bộ Y tế ban hành danh mục và tỷ lệ, điều kiện thanh toán đối với thuốc hóa dược, sinh phẩm, thuốc phóng xạ và chất đánh dấu thuộc phạm vi được hưởng của người tham gia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proofErr w:type="spellStart"/>
      <w:r w:rsidRPr="00382509">
        <w:rPr>
          <w:rFonts w:ascii="Times New Roman" w:hAnsi="Times New Roman" w:cs="Times New Roman"/>
          <w:b/>
          <w:bCs/>
          <w:color w:val="000000" w:themeColor="text1"/>
          <w:sz w:val="28"/>
          <w:szCs w:val="28"/>
          <w:lang w:val="en-US"/>
        </w:rPr>
        <w:t>Thông</w:t>
      </w:r>
      <w:proofErr w:type="spellEnd"/>
      <w:r w:rsidRPr="00382509">
        <w:rPr>
          <w:rFonts w:ascii="Times New Roman" w:hAnsi="Times New Roman" w:cs="Times New Roman"/>
          <w:b/>
          <w:bCs/>
          <w:color w:val="000000" w:themeColor="text1"/>
          <w:sz w:val="28"/>
          <w:szCs w:val="28"/>
          <w:lang w:val="en-US"/>
        </w:rPr>
        <w:t xml:space="preserve"> </w:t>
      </w:r>
      <w:proofErr w:type="spellStart"/>
      <w:r w:rsidRPr="00382509">
        <w:rPr>
          <w:rFonts w:ascii="Times New Roman" w:hAnsi="Times New Roman" w:cs="Times New Roman"/>
          <w:b/>
          <w:bCs/>
          <w:color w:val="000000" w:themeColor="text1"/>
          <w:sz w:val="28"/>
          <w:szCs w:val="28"/>
          <w:lang w:val="en-US"/>
        </w:rPr>
        <w:t>tư</w:t>
      </w:r>
      <w:proofErr w:type="spellEnd"/>
      <w:r w:rsidRPr="00382509">
        <w:rPr>
          <w:rFonts w:ascii="Times New Roman" w:hAnsi="Times New Roman" w:cs="Times New Roman"/>
          <w:b/>
          <w:bCs/>
          <w:color w:val="000000" w:themeColor="text1"/>
          <w:sz w:val="28"/>
          <w:szCs w:val="28"/>
          <w:lang w:val="en-US"/>
        </w:rPr>
        <w:t xml:space="preserve"> </w:t>
      </w:r>
      <w:r w:rsidRPr="00382509">
        <w:rPr>
          <w:rFonts w:ascii="Times New Roman" w:hAnsi="Times New Roman" w:cs="Times New Roman"/>
          <w:color w:val="000000" w:themeColor="text1"/>
          <w:sz w:val="28"/>
          <w:szCs w:val="28"/>
          <w:lang w:val="en-US"/>
        </w:rPr>
        <w:t xml:space="preserve">53/2014/TT-BYT </w:t>
      </w:r>
      <w:r w:rsidRPr="00382509">
        <w:rPr>
          <w:rFonts w:ascii="Times New Roman" w:hAnsi="Times New Roman" w:cs="Times New Roman"/>
          <w:b/>
          <w:bCs/>
          <w:color w:val="000000" w:themeColor="text1"/>
          <w:sz w:val="28"/>
          <w:szCs w:val="28"/>
        </w:rPr>
        <w:t>Quy định điều kiện hoạt động y tế trên môi trường mạng</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proofErr w:type="spellStart"/>
      <w:r w:rsidRPr="00382509">
        <w:rPr>
          <w:rFonts w:ascii="Times New Roman" w:hAnsi="Times New Roman" w:cs="Times New Roman"/>
          <w:color w:val="000000" w:themeColor="text1"/>
          <w:sz w:val="28"/>
          <w:szCs w:val="28"/>
          <w:lang w:val="en-US"/>
        </w:rPr>
        <w:t>Thông</w:t>
      </w:r>
      <w:proofErr w:type="spellEnd"/>
      <w:r w:rsidRPr="00382509">
        <w:rPr>
          <w:rFonts w:ascii="Times New Roman" w:hAnsi="Times New Roman" w:cs="Times New Roman"/>
          <w:color w:val="000000" w:themeColor="text1"/>
          <w:sz w:val="28"/>
          <w:szCs w:val="28"/>
          <w:lang w:val="en-US"/>
        </w:rPr>
        <w:t xml:space="preserve"> </w:t>
      </w:r>
      <w:proofErr w:type="spellStart"/>
      <w:r w:rsidRPr="00382509">
        <w:rPr>
          <w:rFonts w:ascii="Times New Roman" w:hAnsi="Times New Roman" w:cs="Times New Roman"/>
          <w:color w:val="000000" w:themeColor="text1"/>
          <w:sz w:val="28"/>
          <w:szCs w:val="28"/>
          <w:lang w:val="en-US"/>
        </w:rPr>
        <w:t>tư</w:t>
      </w:r>
      <w:proofErr w:type="spellEnd"/>
      <w:r w:rsidRPr="00382509">
        <w:rPr>
          <w:rFonts w:ascii="Times New Roman" w:hAnsi="Times New Roman" w:cs="Times New Roman"/>
          <w:color w:val="000000" w:themeColor="text1"/>
          <w:sz w:val="28"/>
          <w:szCs w:val="28"/>
          <w:lang w:val="en-US"/>
        </w:rPr>
        <w:t xml:space="preserve"> </w:t>
      </w:r>
      <w:r w:rsidRPr="00382509">
        <w:rPr>
          <w:rFonts w:ascii="Times New Roman" w:hAnsi="Times New Roman" w:cs="Times New Roman"/>
          <w:color w:val="000000" w:themeColor="text1"/>
          <w:sz w:val="28"/>
          <w:szCs w:val="28"/>
        </w:rPr>
        <w:t>54/2017/TT-BYT</w:t>
      </w:r>
      <w:r>
        <w:rPr>
          <w:rFonts w:ascii="Times New Roman" w:hAnsi="Times New Roman" w:cs="Times New Roman"/>
          <w:color w:val="000000" w:themeColor="text1"/>
          <w:sz w:val="28"/>
          <w:szCs w:val="28"/>
          <w:lang w:val="en-US"/>
        </w:rPr>
        <w:t xml:space="preserve"> Ban </w:t>
      </w:r>
      <w:proofErr w:type="spellStart"/>
      <w:r>
        <w:rPr>
          <w:rFonts w:ascii="Times New Roman" w:hAnsi="Times New Roman" w:cs="Times New Roman"/>
          <w:color w:val="000000" w:themeColor="text1"/>
          <w:sz w:val="28"/>
          <w:szCs w:val="28"/>
          <w:lang w:val="en-US"/>
        </w:rPr>
        <w:t>hành</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bộ</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tiêu</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chí</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ứng</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dụng</w:t>
      </w:r>
      <w:proofErr w:type="spellEnd"/>
      <w:r>
        <w:rPr>
          <w:rFonts w:ascii="Times New Roman" w:hAnsi="Times New Roman" w:cs="Times New Roman"/>
          <w:color w:val="000000" w:themeColor="text1"/>
          <w:sz w:val="28"/>
          <w:szCs w:val="28"/>
          <w:lang w:val="en-US"/>
        </w:rPr>
        <w:t xml:space="preserve"> CNTT </w:t>
      </w:r>
      <w:proofErr w:type="spellStart"/>
      <w:r>
        <w:rPr>
          <w:rFonts w:ascii="Times New Roman" w:hAnsi="Times New Roman" w:cs="Times New Roman"/>
          <w:color w:val="000000" w:themeColor="text1"/>
          <w:sz w:val="28"/>
          <w:szCs w:val="28"/>
          <w:lang w:val="en-US"/>
        </w:rPr>
        <w:t>tại</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các</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cơ</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sở</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khám</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bệnh</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chữa</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bệnh</w:t>
      </w:r>
      <w:proofErr w:type="spellEnd"/>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proofErr w:type="spellStart"/>
      <w:r w:rsidRPr="00382509">
        <w:rPr>
          <w:rFonts w:ascii="Times New Roman" w:hAnsi="Times New Roman" w:cs="Times New Roman"/>
          <w:color w:val="000000" w:themeColor="text1"/>
          <w:sz w:val="28"/>
          <w:szCs w:val="28"/>
          <w:lang w:val="en-US"/>
        </w:rPr>
        <w:t>Thông</w:t>
      </w:r>
      <w:proofErr w:type="spellEnd"/>
      <w:r w:rsidRPr="00382509">
        <w:rPr>
          <w:rFonts w:ascii="Times New Roman" w:hAnsi="Times New Roman" w:cs="Times New Roman"/>
          <w:color w:val="000000" w:themeColor="text1"/>
          <w:sz w:val="28"/>
          <w:szCs w:val="28"/>
          <w:lang w:val="en-US"/>
        </w:rPr>
        <w:t xml:space="preserve"> </w:t>
      </w:r>
      <w:proofErr w:type="spellStart"/>
      <w:r w:rsidRPr="00382509">
        <w:rPr>
          <w:rFonts w:ascii="Times New Roman" w:hAnsi="Times New Roman" w:cs="Times New Roman"/>
          <w:color w:val="000000" w:themeColor="text1"/>
          <w:sz w:val="28"/>
          <w:szCs w:val="28"/>
          <w:lang w:val="en-US"/>
        </w:rPr>
        <w:t>tư</w:t>
      </w:r>
      <w:proofErr w:type="spellEnd"/>
      <w:r w:rsidRPr="00382509">
        <w:rPr>
          <w:rFonts w:ascii="Times New Roman" w:hAnsi="Times New Roman" w:cs="Times New Roman"/>
          <w:color w:val="000000" w:themeColor="text1"/>
          <w:sz w:val="28"/>
          <w:szCs w:val="28"/>
          <w:lang w:val="en-US"/>
        </w:rPr>
        <w:t xml:space="preserve"> 46/2018/TT-BYT</w:t>
      </w:r>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quy</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định</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hồ</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sơ</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bệnh</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án</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điện</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tử</w:t>
      </w:r>
      <w:proofErr w:type="spellEnd"/>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Quyết định số 6556/QĐ-BYT ngày 30/10/2018 của Bộ Y tế ban hành mẫu bảng kê chi phí KCB sử dụng tại các cơ sở KCB</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102/2018/TT-BTC ngày 14/11/2018 của Bộ Tài chính hướng dẫn kế toán BHXH</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lastRenderedPageBreak/>
        <w:t>Công văn số 4996/BHXH-CSYT ngày 29/11/2018 của BHXH Việt Nam về việc triển khai thực hiện một số nội dung theo quy định tại Nghị định số 146/2018/NĐ-CP</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Quyết định số 4210/QĐ-BYT ngày 20/9/2017 của Bộ Y tế về việc quy định chuẩn và định dạng dữ liệu đầu ra sử dụng trong quản lý, giám định và thanh toán chi phí KCB BHYT</w:t>
      </w:r>
      <w:r w:rsidRPr="00382509">
        <w:rPr>
          <w:rFonts w:ascii="Times New Roman" w:hAnsi="Times New Roman" w:cs="Times New Roman"/>
          <w:color w:val="000000" w:themeColor="text1"/>
          <w:sz w:val="28"/>
          <w:szCs w:val="28"/>
          <w:lang w:val="en-US"/>
        </w:rPr>
        <w:t xml:space="preserve"> </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Công văn số 4782/BHXH-CNTT ngày 27/10/2017 của BHXH Việt Nam về việc bổ sung tài liệu hướng dẫn liên thông và đặc tả dữ liệu kèm theo Quyết định số 917/QĐ-BHXH</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Công văn số 258/BHXH-CNTT ngày 23/01/2019 của BHXH Việt Nam về việc dừng tiếp nhận dữ liệu đề nghị thanh toán chi phí KCB BHYT theo chuẩn dữ liệu 9324 trên Cổng tiếp nhận Hệ thống thông tin Giám định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48/2017/TT-BYT ngày 28/12/2017 của Bộ Y tế quy định trích chuyển dữ liệu điện tử trong quản lý và thanh toán chi phí KCB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Công văn số 1842/BHXH-GĐB ngày 23/5/2018 của BHXH Việt Nam về việc hướng dẫn thực hiện trích chuyển dữ liệu điện tử</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Công văn số 1677/BYT-BH ngày 28/3/2018 của Bộ Y tế về việc hướng dẫn giải quyết một số vấn đề về ứng dụng CNTT trong quản lý KCB và thanh toán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Công văn số 4055/BHXH-CNTT ngày 14/9/2017 của BHXH Việt Nam về việc thanh toán hồ sơ KCB đối với trường hợp thẻ hết hạn sau thời điểm tra cứu</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Công văn số 7464/BYT-BH ngày 28/12/2017 của Bộ Y tế về việc hướng dẫn bổ sung một số chỉ tiêu dữ liệu ban hành kèm theo Quyết định số 4210/QĐ-BYT ngày 20/9/2017 của Bộ Y tế</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Công văn số 2723/BHXH-CSYT ngày 21/7/2016 của BHXH Việt Nam về việc hướng dẫn gửi dữ liệu điện tử đến Hệ thống thông tin giám định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Công văn số 2032/BHXH-CSYT ngày 03/6/2016 của BHXH Việt Nam về việc hướng dẫn giải quyết một số vướng mắc trong thực hiện chính sách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05/2016/TT-BYT ngày 29/02/2016 của Bộ Y tế Quy định về kê đơn thuốc trong điều trị ngoại trú</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Công văn số 908/BYT-BH ngày 22/02/2016 của Bộ Y tế về việc hướng dẫn bổ sung thông tin thuốc và vật tư y tế để thực hiện tin học hóa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lastRenderedPageBreak/>
        <w:t>Thông tư số 01/2016/TT-BYT ngày 05/01/2016 của Bộ Y tế quy định về kê đơn thuốc y học cổ truyền, kê đơn thuốc y học cổ truyền kết hợp với thuốc tân dược trong các cơ sở khám bệnh, chữa bệnh</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Quyết định số 1456/QĐ-BHXH ngày 01/12/2015 của BHXH Việt Nam về việc ban hành Quy trình giám định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Công văn số 9324/BYT-BH ngày 30/11/2015 của Bộ Y tế về việc trích xuất đầu ra dữ liệu yêu cầu thanh toán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40/2015/TT-BYT ngày 16/11/2015 của Bộ Y tế về việc quy định đăng ký KCB BHYT ban đầu và chuyển tuyến KCB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05/2015/TT-BYT ngày 17/3/2015 của Bộ Y tế về việc Ban hành Danh mục thuốc đông y, thuốc từ dược liệu và vị thuốc YHCT thuộc phạm vi thanh toán của quỹ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rPr>
        <w:t>Thông tư số 50/2014/TT-BYT ngày 26/12/2014 của Bộ Y tế về việc Quy định việc phân loại phẫu thuật, thủ thuật và định mức nhân lực trong từng ca phẫu thuật, thủ thuật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Quyết định số 1399/QĐ-BHXH ngày 22/12/2014 của Bảo hiểm xã hội Việt Nam Ban hành quy định về tổ chức thực hiện BHYT trong khám bệnh, chữa bệnh</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33/2014/TT-BYT ngày 27/10/2014 của Bộ tế Quy định giá tối đa và chi phí phục vụ cho việc xác định giá một đơn vị máu toàn phần, chế phẩm máu đạt tiêu chuẩn</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05/2017/TT-BYT ngày 14/4/2017 của Bộ Y tế về việc quy định giá tối đa và chi phí phục vụ cho việc xác định giá một đơn vị máu toàn phần, chế phẩm máu đạt tiêu chuẩn</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05/2014/TT-BYT ngày 14/02/2014 của Bộ Y tế Quy định việc sử dụng dược liệu, vị thuốc y học cổ truyền trong các cơ sở KCB</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43/2017/TT-BYT ngày 16/11/2017 của Bộ Y tế quy định tỷ lệ hao hụt đối với vị thuốc cổ truyền và việc thanh toán chi phí hao hụt tại các cơ sở KCB</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 xml:space="preserve">Thông tư số </w:t>
      </w:r>
      <w:r w:rsidRPr="00382509">
        <w:rPr>
          <w:rFonts w:ascii="Times New Roman" w:hAnsi="Times New Roman" w:cs="Times New Roman"/>
          <w:color w:val="000000" w:themeColor="text1"/>
          <w:sz w:val="28"/>
          <w:szCs w:val="28"/>
        </w:rPr>
        <w:t>40/2014/TT-BYT</w:t>
      </w:r>
      <w:r w:rsidRPr="00382509">
        <w:rPr>
          <w:rFonts w:ascii="Times New Roman" w:hAnsi="Times New Roman" w:cs="Times New Roman"/>
          <w:color w:val="000000" w:themeColor="text1"/>
          <w:sz w:val="28"/>
          <w:szCs w:val="28"/>
          <w:lang w:val="en-US"/>
        </w:rPr>
        <w:t xml:space="preserve"> </w:t>
      </w:r>
      <w:r w:rsidRPr="00382509">
        <w:rPr>
          <w:rFonts w:ascii="Times New Roman" w:hAnsi="Times New Roman" w:cs="Times New Roman"/>
          <w:color w:val="000000" w:themeColor="text1"/>
          <w:sz w:val="28"/>
          <w:szCs w:val="28"/>
        </w:rPr>
        <w:t>Ban hành và hướng dẫn thực hiện danh mục thuốc tân dược thuộc phạm vi thanh toán của quỹ bảo hiểm y tế</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35/2016/TT-BYT ngày 28/9/2016 của Bộ Y tế về việc ban hành danh mục và tỷ lệ, điều kiện thanh toán đối với DVKT y tế thuộc phạm vi được hưởng của người tham gia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46/2016/TT-BYT ngày 30/12/2016 của Bộ Y tế ban hành Danh mục bệnh cần chữa trị dài ngày</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lastRenderedPageBreak/>
        <w:t>Công văn số 510/BHXH-CSYT ngày 22/02/2017 của BHXH Việt Nam về việc thanh toán BHYT cho một số DVKT y tế chuyển sang cơ sở KCB khác để thực hiện</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01/2017/TT-BYT ngày 06/3/2017 của Bộ Y tế về việc quy định việc thực hiện hóa trị, xạ trị, hóa trị kết hợp xạ trị ban ngày tại cơ sở KCB</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04/2017/TT-BYT ngày 14/4/2017 của Bộ Y tế về việc ban hành Danh mục và tỷ lệ, điều kiện thanh toán đối với vật tư y tế thuộc phạm vi được hưởng của người tham gia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Biên bản số 1135/BB-BYT ngày 24/10/2017 của Bộ Y tế về việc giải quyết vướng mắc về định mức và thanh toán chi phí KCB BHYT</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18/2018/TT-BYT ngày 22/8/2018 của Bộ Y tế sửa đổi, bổ sung một số điều của Thông tư số 52/2017/TT-BYT ngày 29/12/2017 quy định về đơn thuốc và kê đơn thuốc hóa dược, sinh phẩm trong điều trị ngoại trú</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50/2017/TT-BYT ngày 29/12/2017 của Bộ Y tế về việc sửa đổi, bổ sung các quy định liên quan đến thanh toán chi phí KCB</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52/2017/TT-BYT ngày 29/12/2017 của Bộ Y tế quy định về đơn thuốc và việc kê đơn thuốc hóa dược, sinh phẩm trong điều trị ngoại trú</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55/2017/TT-BYT ngày 29/12/2017 của Bộ Y tế quy định về tỷ lệ hao hụt thuốc và việc thanh toán chi phí hao hụt thuốc tại cơ sở KCB</w:t>
      </w:r>
    </w:p>
    <w:p w:rsidR="00382509" w:rsidRPr="00382509" w:rsidRDefault="00382509" w:rsidP="00382509">
      <w:pPr>
        <w:pStyle w:val="ListParagraph"/>
        <w:numPr>
          <w:ilvl w:val="0"/>
          <w:numId w:val="1"/>
        </w:numPr>
        <w:jc w:val="both"/>
        <w:rPr>
          <w:rFonts w:ascii="Times New Roman" w:hAnsi="Times New Roman" w:cs="Times New Roman"/>
          <w:color w:val="000000" w:themeColor="text1"/>
          <w:sz w:val="28"/>
          <w:szCs w:val="28"/>
          <w:lang w:val="en-US"/>
        </w:rPr>
      </w:pPr>
      <w:r w:rsidRPr="00382509">
        <w:rPr>
          <w:rFonts w:ascii="Times New Roman" w:hAnsi="Times New Roman" w:cs="Times New Roman"/>
          <w:color w:val="000000" w:themeColor="text1"/>
          <w:sz w:val="28"/>
          <w:szCs w:val="28"/>
          <w:shd w:val="clear" w:color="auto" w:fill="FFFFFF"/>
        </w:rPr>
        <w:t>Thông tư số 01/2019/TT-BYT ngày 01/3/2019 của Bộ Y tế quy định việc thực hiện điều trị nội trú ban ngày tại cơ sở KCB y học cổ truyền</w:t>
      </w:r>
    </w:p>
    <w:p w:rsidR="00382509" w:rsidRPr="00382509" w:rsidRDefault="00382509" w:rsidP="00382509">
      <w:pPr>
        <w:jc w:val="both"/>
        <w:rPr>
          <w:rFonts w:ascii="Times New Roman" w:hAnsi="Times New Roman" w:cs="Times New Roman"/>
          <w:color w:val="000000" w:themeColor="text1"/>
          <w:sz w:val="28"/>
          <w:szCs w:val="28"/>
        </w:rPr>
      </w:pPr>
      <w:r w:rsidRPr="00382509">
        <w:rPr>
          <w:rFonts w:ascii="Times New Roman" w:hAnsi="Times New Roman" w:cs="Times New Roman"/>
          <w:color w:val="000000" w:themeColor="text1"/>
          <w:sz w:val="28"/>
          <w:szCs w:val="28"/>
        </w:rPr>
        <w:t>Văn bản của VN về an toàn thông tin:</w:t>
      </w:r>
    </w:p>
    <w:p w:rsidR="00382509" w:rsidRPr="00382509" w:rsidRDefault="00382509" w:rsidP="00382509">
      <w:pPr>
        <w:pStyle w:val="ListParagraph"/>
        <w:numPr>
          <w:ilvl w:val="0"/>
          <w:numId w:val="2"/>
        </w:numPr>
        <w:jc w:val="both"/>
        <w:rPr>
          <w:rFonts w:ascii="Times New Roman" w:hAnsi="Times New Roman" w:cs="Times New Roman"/>
          <w:color w:val="000000" w:themeColor="text1"/>
          <w:sz w:val="28"/>
          <w:szCs w:val="28"/>
        </w:rPr>
      </w:pPr>
      <w:r w:rsidRPr="00382509">
        <w:rPr>
          <w:rFonts w:ascii="Times New Roman" w:hAnsi="Times New Roman" w:cs="Times New Roman"/>
          <w:color w:val="000000" w:themeColor="text1"/>
          <w:sz w:val="28"/>
          <w:szCs w:val="28"/>
        </w:rPr>
        <w:t>Luật an toàn thông tin mạng số 86/2015/QH13 được Quốc hội nước cộng hòa xã hội chủ nghĩa Việt Nam khóa XIII, kỳ họp thứ 10 thông qua ngày 19 tháng 11 năm 2015, hiệu lực kể từ ngày 01 tháng 7 năm 2016.</w:t>
      </w:r>
    </w:p>
    <w:p w:rsidR="00382509" w:rsidRPr="00382509" w:rsidRDefault="00382509" w:rsidP="00382509">
      <w:pPr>
        <w:pStyle w:val="ListParagraph"/>
        <w:numPr>
          <w:ilvl w:val="0"/>
          <w:numId w:val="2"/>
        </w:numPr>
        <w:jc w:val="both"/>
        <w:rPr>
          <w:rFonts w:ascii="Times New Roman" w:hAnsi="Times New Roman" w:cs="Times New Roman"/>
          <w:color w:val="000000" w:themeColor="text1"/>
          <w:sz w:val="28"/>
          <w:szCs w:val="28"/>
        </w:rPr>
      </w:pPr>
      <w:r w:rsidRPr="00382509">
        <w:rPr>
          <w:rFonts w:ascii="Times New Roman" w:hAnsi="Times New Roman" w:cs="Times New Roman"/>
          <w:color w:val="000000" w:themeColor="text1"/>
          <w:sz w:val="28"/>
          <w:szCs w:val="28"/>
        </w:rPr>
        <w:t>Nghị định 85/2016/NĐ-CP ngày 01 tháng 7 năm 2016 về bảo đảm an toàn thông tin theo cấp độ.</w:t>
      </w:r>
    </w:p>
    <w:p w:rsidR="00382509" w:rsidRPr="00382509" w:rsidRDefault="00382509" w:rsidP="00382509">
      <w:pPr>
        <w:pStyle w:val="ListParagraph"/>
        <w:numPr>
          <w:ilvl w:val="0"/>
          <w:numId w:val="2"/>
        </w:numPr>
        <w:jc w:val="both"/>
        <w:rPr>
          <w:rFonts w:ascii="Times New Roman" w:hAnsi="Times New Roman" w:cs="Times New Roman"/>
          <w:color w:val="000000" w:themeColor="text1"/>
          <w:sz w:val="28"/>
          <w:szCs w:val="28"/>
        </w:rPr>
      </w:pPr>
      <w:r w:rsidRPr="00382509">
        <w:rPr>
          <w:rFonts w:ascii="Times New Roman" w:hAnsi="Times New Roman" w:cs="Times New Roman"/>
          <w:color w:val="000000" w:themeColor="text1"/>
          <w:sz w:val="28"/>
          <w:szCs w:val="28"/>
        </w:rPr>
        <w:t>Luật an ninh mạng số 24/2018/QH14 được Quốc hội nước cộng hòa xã hội chủ nghĩa Việt Nam khóa XIV, kỳ họp thứ 5 thông qua ngày 12 tháng 6 năm 2018, hiệu lực kể từ ngày 01 tháng 01 năm 2019.</w:t>
      </w:r>
    </w:p>
    <w:p w:rsidR="00382509" w:rsidRPr="00382509" w:rsidRDefault="00382509" w:rsidP="00382509">
      <w:pPr>
        <w:jc w:val="both"/>
        <w:rPr>
          <w:rFonts w:ascii="Times New Roman" w:hAnsi="Times New Roman" w:cs="Times New Roman"/>
          <w:color w:val="000000" w:themeColor="text1"/>
          <w:sz w:val="28"/>
          <w:szCs w:val="28"/>
        </w:rPr>
      </w:pPr>
      <w:r w:rsidRPr="00382509">
        <w:rPr>
          <w:rFonts w:ascii="Times New Roman" w:hAnsi="Times New Roman" w:cs="Times New Roman"/>
          <w:color w:val="000000" w:themeColor="text1"/>
          <w:sz w:val="28"/>
          <w:szCs w:val="28"/>
        </w:rPr>
        <w:t>Văn bản của Bộ Y tế</w:t>
      </w:r>
    </w:p>
    <w:p w:rsidR="00382509" w:rsidRPr="00382509" w:rsidRDefault="00382509" w:rsidP="00382509">
      <w:pPr>
        <w:pStyle w:val="ListParagraph"/>
        <w:numPr>
          <w:ilvl w:val="0"/>
          <w:numId w:val="3"/>
        </w:numPr>
        <w:jc w:val="both"/>
        <w:rPr>
          <w:rFonts w:ascii="Times New Roman" w:hAnsi="Times New Roman" w:cs="Times New Roman"/>
          <w:color w:val="000000" w:themeColor="text1"/>
          <w:sz w:val="28"/>
          <w:szCs w:val="28"/>
        </w:rPr>
      </w:pPr>
      <w:r w:rsidRPr="00382509">
        <w:rPr>
          <w:rStyle w:val="fontstyle01"/>
          <w:rFonts w:ascii="Times New Roman" w:hAnsi="Times New Roman" w:cs="Times New Roman"/>
          <w:color w:val="000000" w:themeColor="text1"/>
          <w:sz w:val="28"/>
          <w:szCs w:val="28"/>
        </w:rPr>
        <w:lastRenderedPageBreak/>
        <w:t>Quyết định 4159/QĐ-BYT ngày 13/10/2014 của Bộ Y tế ban hành quy định về đảm bảo an toàn thông tin y tế điện tử tại các đơn vị trong ngành y tế</w:t>
      </w:r>
    </w:p>
    <w:p w:rsidR="00382509" w:rsidRPr="00382509" w:rsidRDefault="00382509" w:rsidP="00382509">
      <w:pPr>
        <w:pStyle w:val="ListParagraph"/>
        <w:numPr>
          <w:ilvl w:val="0"/>
          <w:numId w:val="3"/>
        </w:numPr>
        <w:jc w:val="both"/>
        <w:rPr>
          <w:rFonts w:ascii="Times New Roman" w:hAnsi="Times New Roman" w:cs="Times New Roman"/>
          <w:color w:val="000000" w:themeColor="text1"/>
          <w:sz w:val="28"/>
          <w:szCs w:val="28"/>
        </w:rPr>
      </w:pPr>
      <w:r w:rsidRPr="00382509">
        <w:rPr>
          <w:rFonts w:ascii="Times New Roman" w:hAnsi="Times New Roman" w:cs="Times New Roman"/>
          <w:color w:val="000000" w:themeColor="text1"/>
          <w:sz w:val="28"/>
          <w:szCs w:val="28"/>
        </w:rPr>
        <w:t>Thông tư số 53/2014/TT-BYT ngày 29 tháng 12 năm 2014 về quy định điều kiện hoạt động y tế trên môi trường mạng, hiệu lực từ ngày 01 tháng 3 năm 2015.</w:t>
      </w:r>
    </w:p>
    <w:p w:rsidR="00382509" w:rsidRPr="00382509" w:rsidRDefault="00382509" w:rsidP="00382509">
      <w:pPr>
        <w:pStyle w:val="ListParagraph"/>
        <w:numPr>
          <w:ilvl w:val="0"/>
          <w:numId w:val="3"/>
        </w:numPr>
        <w:spacing w:after="0" w:line="240" w:lineRule="auto"/>
        <w:jc w:val="both"/>
        <w:rPr>
          <w:rStyle w:val="fontstyle01"/>
          <w:rFonts w:ascii="Times New Roman" w:hAnsi="Times New Roman" w:cs="Times New Roman"/>
          <w:color w:val="000000" w:themeColor="text1"/>
          <w:sz w:val="28"/>
          <w:szCs w:val="28"/>
        </w:rPr>
      </w:pPr>
      <w:r w:rsidRPr="00382509">
        <w:rPr>
          <w:rFonts w:ascii="Times New Roman" w:eastAsia="Times New Roman" w:hAnsi="Times New Roman" w:cs="Times New Roman"/>
          <w:color w:val="000000" w:themeColor="text1"/>
          <w:sz w:val="28"/>
          <w:szCs w:val="28"/>
          <w:lang w:eastAsia="vi-VN"/>
        </w:rPr>
        <w:t xml:space="preserve">Quyết định 4494/QĐ-BYT ngày 30 tháng 10 năm 2015 của Bộ Y tế về việc ban hành </w:t>
      </w:r>
      <w:r w:rsidRPr="00382509">
        <w:rPr>
          <w:rStyle w:val="fontstyle01"/>
          <w:rFonts w:ascii="Times New Roman" w:hAnsi="Times New Roman" w:cs="Times New Roman"/>
          <w:color w:val="000000" w:themeColor="text1"/>
          <w:sz w:val="28"/>
          <w:szCs w:val="28"/>
        </w:rPr>
        <w:t>Quy trình phản ứng với các sự cố an toàn, an ninh thông tin tại các đơn vị trong ngành y tế.</w:t>
      </w:r>
    </w:p>
    <w:p w:rsidR="00382509" w:rsidRPr="00382509" w:rsidRDefault="00382509" w:rsidP="00382509">
      <w:pPr>
        <w:pStyle w:val="ListParagraph"/>
        <w:numPr>
          <w:ilvl w:val="0"/>
          <w:numId w:val="3"/>
        </w:numPr>
        <w:spacing w:after="0" w:line="240" w:lineRule="auto"/>
        <w:jc w:val="both"/>
        <w:rPr>
          <w:rFonts w:ascii="Times New Roman" w:hAnsi="Times New Roman" w:cs="Times New Roman"/>
          <w:color w:val="000000" w:themeColor="text1"/>
          <w:sz w:val="28"/>
          <w:szCs w:val="28"/>
        </w:rPr>
      </w:pPr>
      <w:r w:rsidRPr="00382509">
        <w:rPr>
          <w:rFonts w:ascii="Times New Roman" w:eastAsia="Times New Roman" w:hAnsi="Times New Roman" w:cs="Times New Roman"/>
          <w:color w:val="000000" w:themeColor="text1"/>
          <w:sz w:val="28"/>
          <w:szCs w:val="28"/>
          <w:lang w:eastAsia="vi-VN"/>
        </w:rPr>
        <w:t>Quyết định 4495/QĐ-BYT ngày 30 tháng 10 năm 2015 của Bộ Y tế về việc ban hành hướng dẫn xây dựng nội quy an toàn, an ninh thông tin trong các đơn vị trong ngành y tế</w:t>
      </w:r>
    </w:p>
    <w:p w:rsidR="00382509" w:rsidRPr="00382509" w:rsidRDefault="00382509" w:rsidP="00382509">
      <w:pPr>
        <w:pStyle w:val="ListParagraph"/>
        <w:numPr>
          <w:ilvl w:val="0"/>
          <w:numId w:val="3"/>
        </w:numPr>
        <w:spacing w:after="0" w:line="240" w:lineRule="auto"/>
        <w:jc w:val="both"/>
        <w:rPr>
          <w:rFonts w:ascii="Times New Roman" w:hAnsi="Times New Roman" w:cs="Times New Roman"/>
          <w:color w:val="000000" w:themeColor="text1"/>
          <w:sz w:val="28"/>
          <w:szCs w:val="28"/>
        </w:rPr>
      </w:pPr>
      <w:r w:rsidRPr="00382509">
        <w:rPr>
          <w:rFonts w:ascii="Times New Roman" w:eastAsia="Times New Roman" w:hAnsi="Times New Roman" w:cs="Times New Roman"/>
          <w:color w:val="000000" w:themeColor="text1"/>
          <w:sz w:val="28"/>
          <w:szCs w:val="28"/>
          <w:lang w:eastAsia="vi-VN"/>
        </w:rPr>
        <w:t>Công văn số 272/CNTT-CSHT ngày 18 tháng 5 năm 2018 của Cục Công nghệ Thông tin Bộ Y tế về việc tăng cường đảm bảo an toàn dữ liệu số trên môi trường mạng.</w:t>
      </w:r>
    </w:p>
    <w:p w:rsidR="00382509" w:rsidRPr="00382509" w:rsidRDefault="00382509" w:rsidP="00382509">
      <w:pPr>
        <w:jc w:val="both"/>
        <w:rPr>
          <w:rFonts w:ascii="Times New Roman" w:hAnsi="Times New Roman" w:cs="Times New Roman"/>
          <w:color w:val="000000" w:themeColor="text1"/>
          <w:sz w:val="28"/>
          <w:szCs w:val="28"/>
        </w:rPr>
      </w:pPr>
    </w:p>
    <w:sectPr w:rsidR="00382509" w:rsidRPr="00382509" w:rsidSect="005355D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D006CD"/>
    <w:multiLevelType w:val="hybridMultilevel"/>
    <w:tmpl w:val="F92A64DE"/>
    <w:lvl w:ilvl="0" w:tplc="6C58E33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65AA76DC"/>
    <w:multiLevelType w:val="hybridMultilevel"/>
    <w:tmpl w:val="74569360"/>
    <w:lvl w:ilvl="0" w:tplc="5E263AB4">
      <w:start w:val="1"/>
      <w:numFmt w:val="bullet"/>
      <w:lvlText w:val=""/>
      <w:lvlJc w:val="left"/>
      <w:pPr>
        <w:tabs>
          <w:tab w:val="num" w:pos="720"/>
        </w:tabs>
        <w:ind w:left="720" w:hanging="360"/>
      </w:pPr>
      <w:rPr>
        <w:rFonts w:ascii="Wingdings" w:hAnsi="Wingdings" w:hint="default"/>
      </w:rPr>
    </w:lvl>
    <w:lvl w:ilvl="1" w:tplc="815C1B5A" w:tentative="1">
      <w:start w:val="1"/>
      <w:numFmt w:val="bullet"/>
      <w:lvlText w:val=""/>
      <w:lvlJc w:val="left"/>
      <w:pPr>
        <w:tabs>
          <w:tab w:val="num" w:pos="1440"/>
        </w:tabs>
        <w:ind w:left="1440" w:hanging="360"/>
      </w:pPr>
      <w:rPr>
        <w:rFonts w:ascii="Wingdings" w:hAnsi="Wingdings" w:hint="default"/>
      </w:rPr>
    </w:lvl>
    <w:lvl w:ilvl="2" w:tplc="99CA5322" w:tentative="1">
      <w:start w:val="1"/>
      <w:numFmt w:val="bullet"/>
      <w:lvlText w:val=""/>
      <w:lvlJc w:val="left"/>
      <w:pPr>
        <w:tabs>
          <w:tab w:val="num" w:pos="2160"/>
        </w:tabs>
        <w:ind w:left="2160" w:hanging="360"/>
      </w:pPr>
      <w:rPr>
        <w:rFonts w:ascii="Wingdings" w:hAnsi="Wingdings" w:hint="default"/>
      </w:rPr>
    </w:lvl>
    <w:lvl w:ilvl="3" w:tplc="988004D0" w:tentative="1">
      <w:start w:val="1"/>
      <w:numFmt w:val="bullet"/>
      <w:lvlText w:val=""/>
      <w:lvlJc w:val="left"/>
      <w:pPr>
        <w:tabs>
          <w:tab w:val="num" w:pos="2880"/>
        </w:tabs>
        <w:ind w:left="2880" w:hanging="360"/>
      </w:pPr>
      <w:rPr>
        <w:rFonts w:ascii="Wingdings" w:hAnsi="Wingdings" w:hint="default"/>
      </w:rPr>
    </w:lvl>
    <w:lvl w:ilvl="4" w:tplc="DBB07F3C" w:tentative="1">
      <w:start w:val="1"/>
      <w:numFmt w:val="bullet"/>
      <w:lvlText w:val=""/>
      <w:lvlJc w:val="left"/>
      <w:pPr>
        <w:tabs>
          <w:tab w:val="num" w:pos="3600"/>
        </w:tabs>
        <w:ind w:left="3600" w:hanging="360"/>
      </w:pPr>
      <w:rPr>
        <w:rFonts w:ascii="Wingdings" w:hAnsi="Wingdings" w:hint="default"/>
      </w:rPr>
    </w:lvl>
    <w:lvl w:ilvl="5" w:tplc="B43623D8" w:tentative="1">
      <w:start w:val="1"/>
      <w:numFmt w:val="bullet"/>
      <w:lvlText w:val=""/>
      <w:lvlJc w:val="left"/>
      <w:pPr>
        <w:tabs>
          <w:tab w:val="num" w:pos="4320"/>
        </w:tabs>
        <w:ind w:left="4320" w:hanging="360"/>
      </w:pPr>
      <w:rPr>
        <w:rFonts w:ascii="Wingdings" w:hAnsi="Wingdings" w:hint="default"/>
      </w:rPr>
    </w:lvl>
    <w:lvl w:ilvl="6" w:tplc="728009DE" w:tentative="1">
      <w:start w:val="1"/>
      <w:numFmt w:val="bullet"/>
      <w:lvlText w:val=""/>
      <w:lvlJc w:val="left"/>
      <w:pPr>
        <w:tabs>
          <w:tab w:val="num" w:pos="5040"/>
        </w:tabs>
        <w:ind w:left="5040" w:hanging="360"/>
      </w:pPr>
      <w:rPr>
        <w:rFonts w:ascii="Wingdings" w:hAnsi="Wingdings" w:hint="default"/>
      </w:rPr>
    </w:lvl>
    <w:lvl w:ilvl="7" w:tplc="CADE3028" w:tentative="1">
      <w:start w:val="1"/>
      <w:numFmt w:val="bullet"/>
      <w:lvlText w:val=""/>
      <w:lvlJc w:val="left"/>
      <w:pPr>
        <w:tabs>
          <w:tab w:val="num" w:pos="5760"/>
        </w:tabs>
        <w:ind w:left="5760" w:hanging="360"/>
      </w:pPr>
      <w:rPr>
        <w:rFonts w:ascii="Wingdings" w:hAnsi="Wingdings" w:hint="default"/>
      </w:rPr>
    </w:lvl>
    <w:lvl w:ilvl="8" w:tplc="E94EE8CC" w:tentative="1">
      <w:start w:val="1"/>
      <w:numFmt w:val="bullet"/>
      <w:lvlText w:val=""/>
      <w:lvlJc w:val="left"/>
      <w:pPr>
        <w:tabs>
          <w:tab w:val="num" w:pos="6480"/>
        </w:tabs>
        <w:ind w:left="6480" w:hanging="360"/>
      </w:pPr>
      <w:rPr>
        <w:rFonts w:ascii="Wingdings" w:hAnsi="Wingdings" w:hint="default"/>
      </w:rPr>
    </w:lvl>
  </w:abstractNum>
  <w:abstractNum w:abstractNumId="2">
    <w:nsid w:val="6E811B37"/>
    <w:multiLevelType w:val="hybridMultilevel"/>
    <w:tmpl w:val="653652B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7CF76E1E"/>
    <w:multiLevelType w:val="hybridMultilevel"/>
    <w:tmpl w:val="9C8AC0EA"/>
    <w:lvl w:ilvl="0" w:tplc="6C58E33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oofState w:spelling="clean" w:grammar="clean"/>
  <w:defaultTabStop w:val="720"/>
  <w:characterSpacingControl w:val="doNotCompress"/>
  <w:compat/>
  <w:rsids>
    <w:rsidRoot w:val="00382509"/>
    <w:rsid w:val="00382509"/>
    <w:rsid w:val="00397B3B"/>
    <w:rsid w:val="005355D5"/>
    <w:rsid w:val="0080785D"/>
    <w:rsid w:val="00BA0A1E"/>
    <w:rsid w:val="00E75211"/>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5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509"/>
    <w:pPr>
      <w:ind w:left="720"/>
      <w:contextualSpacing/>
    </w:pPr>
  </w:style>
  <w:style w:type="character" w:customStyle="1" w:styleId="fontstyle01">
    <w:name w:val="fontstyle01"/>
    <w:basedOn w:val="DefaultParagraphFont"/>
    <w:rsid w:val="00382509"/>
    <w:rPr>
      <w:rFonts w:ascii="TimesNewRomanPSMT" w:hAnsi="TimesNewRomanPSMT" w:hint="default"/>
      <w:b w:val="0"/>
      <w:bCs w:val="0"/>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1701397039">
      <w:bodyDiv w:val="1"/>
      <w:marLeft w:val="0"/>
      <w:marRight w:val="0"/>
      <w:marTop w:val="0"/>
      <w:marBottom w:val="0"/>
      <w:divBdr>
        <w:top w:val="none" w:sz="0" w:space="0" w:color="auto"/>
        <w:left w:val="none" w:sz="0" w:space="0" w:color="auto"/>
        <w:bottom w:val="none" w:sz="0" w:space="0" w:color="auto"/>
        <w:right w:val="none" w:sz="0" w:space="0" w:color="auto"/>
      </w:divBdr>
      <w:divsChild>
        <w:div w:id="788398524">
          <w:marLeft w:val="547"/>
          <w:marRight w:val="0"/>
          <w:marTop w:val="134"/>
          <w:marBottom w:val="0"/>
          <w:divBdr>
            <w:top w:val="none" w:sz="0" w:space="0" w:color="auto"/>
            <w:left w:val="none" w:sz="0" w:space="0" w:color="auto"/>
            <w:bottom w:val="none" w:sz="0" w:space="0" w:color="auto"/>
            <w:right w:val="none" w:sz="0" w:space="0" w:color="auto"/>
          </w:divBdr>
        </w:div>
        <w:div w:id="205483088">
          <w:marLeft w:val="547"/>
          <w:marRight w:val="0"/>
          <w:marTop w:val="134"/>
          <w:marBottom w:val="0"/>
          <w:divBdr>
            <w:top w:val="none" w:sz="0" w:space="0" w:color="auto"/>
            <w:left w:val="none" w:sz="0" w:space="0" w:color="auto"/>
            <w:bottom w:val="none" w:sz="0" w:space="0" w:color="auto"/>
            <w:right w:val="none" w:sz="0" w:space="0" w:color="auto"/>
          </w:divBdr>
        </w:div>
        <w:div w:id="168921643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1258</Words>
  <Characters>7175</Characters>
  <Application>Microsoft Office Word</Application>
  <DocSecurity>0</DocSecurity>
  <Lines>59</Lines>
  <Paragraphs>16</Paragraphs>
  <ScaleCrop>false</ScaleCrop>
  <Company>Hewlett-Packard Company</Company>
  <LinksUpToDate>false</LinksUpToDate>
  <CharactersWithSpaces>8417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mrsThuy</dc:creator>
  <cp:keywords/>
  <dc:description/>
  <cp:lastModifiedBy>mrsThuy</cp:lastModifiedBy>
  <cp:revision>5</cp:revision>
  <dcterms:created xsi:type="dcterms:W3CDTF">2019-03-28T19:51:00Z</dcterms:created>
  <dcterms:modified xsi:type="dcterms:W3CDTF">2019-03-28T20:27:00Z</dcterms:modified>
</cp:coreProperties>
</file>